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577</w:t>
      </w:r>
    </w:p>
    <w:p>
      <w:r>
        <w:t>Bundesgericht (BGE), 2021-08-30, DE</w:t>
      </w:r>
    </w:p>
    <w:p>
      <w:r>
        <w:rPr>
          <w:b/>
        </w:rPr>
        <w:t xml:space="preserve">Quelle: </w:t>
      </w:r>
      <w:r>
        <w:t>https://mcp.opencaselaw.ch/entscheid/bge_147 III 577</w:t>
      </w:r>
    </w:p>
    <w:p>
      <w:r>
        <w:t>FR: ATF 147 III 577</w:t>
      </w:r>
    </w:p>
    <w:p>
      <w:r>
        <w:t>IT: DTF 147 III 577</w:t>
      </w:r>
    </w:p>
    <w:p>
      <w:pPr>
        <w:pStyle w:val="Heading2"/>
      </w:pPr>
      <w:r>
        <w:t>Regeste</w:t>
      </w:r>
    </w:p>
    <w:p>
      <w:r>
        <w:t>Regeste Art. 30 Abs. 1 BV, Art. 6 Ziff. 1 EMRK, Art. 47 ZPO; Anschein der Befangenheit eines nebenamtlichen Bundespatentrichters. Betonung der hohen Bedeutung des Anspruchs auf ein unabhängiges und unparteiisches Gericht für die Glaubwürdigkeit der Justiz. Beim Bundespatentgericht, einem spezialisierten Fachgericht mit mehrheitlich nebenamtlichen Richtern, ist ganz besonders auf die richterliche Unabhängigkeit zu achten, wobei aber die vom Gesetzgeber gewollte Organisation ebenfalls zu berücksichtigen ist. Bedeutung bei administrativen Tätigkeiten der Kanzlei eines Bundespatentrichters (E. 6).</w:t>
      </w:r>
    </w:p>
    <w:p>
      <w:pPr>
        <w:pStyle w:val="Heading2"/>
      </w:pPr>
      <w:r>
        <w:t>Erwägungen</w:t>
      </w:r>
    </w:p>
    <w:p>
      <w:r>
        <w:rPr>
          <w:b/>
        </w:rPr>
        <w:t>E. 6</w:t>
      </w:r>
    </w:p>
    <w:p>
      <w:r>
        <w:t>Der vorliegende Fall zeigt exemplarisch die Schwierigkeiten im Hinblick auf Art. 30 Abs. 1 BV auf, die sich bei spezialisierten Fachgerichten mit mehrheitlich nebenamtlichen Richterpersonen aufgrund der kleinräumigen Verhältnisse in der Schweiz ergeben können (so JEREMIAS FELLMANN, Die bundesgerichtliche Rechtsprechung zu Art. 30 Abs. 1 BV , Justice-Justiz-Giustizia 2021/2, Rz. 22). Für das Bundespatentgericht kommt erschwerend hinzu, dass die enge Spezialisierung auf das Patentrecht einen nur kleinen Kreis infrage kommender Gerichtspersonen erfasst und dass teilweise auch die hauptamtlichen Richter nur teilzeitlich für das Gericht und im Übrigen in anderer Funktion im Bereich des Patentrechts tätig sind. Diese Schwierigkeit vermag aber die hohe Bedeutung, die der Garantie des unabhängigen und unbefangenen Richters zukommt, und die gerade auch durch organisatorische Gegebenheiten tangiert sein kann ( BGE 147 I 173 E. 5.1), nicht aufzuwiegen. Im Gegenteil ist bei einer derartigen Organisation ganz besonders auf die richterliche Unabhängigkeit zu achten, wobei aber die vom Gesetzgeber gewollte Organisation im Rahmen der stets gebotenen Einzelfallbeurteilung ebenfalls zu berücksichtigen ist ( BGE 147 III 89 E. 4.2.1; BGE 139 III 433 E. 2.1.3). Letzteres bedeutet im vorliegenden Kontext namentlich, dass für rein administrative Tätigkeiten der Kanzlei eines Bundespatentrichters eine weniger strikte Haltung gilt als für typische BGE 147 III 577 S. 581 (Patent-)Anwaltstätigkeiten. Nicht jegliche administrative Tätigkeit genügt, um einen Anschein der Befangenheit zu begründen. Vielmehr müssen objektive Umstände auf eine gewisse Intensität der Beziehung hindeuten ( BGE 147 III 89 E. 5.1 und 5.2). In der Literatur wird aber zu Recht dafür plädiert, dass angesichts der grossen Bedeutung, die dem Anspruch auf ein unabhängiges und unparteiisches Gericht gemäss Art. 30 Abs. 1 BV für die Glaubwürdigkeit der Justiz zukommt, die Schwelle für einen Ausstandsgrund auch bei administrativen Tätigkeiten nicht zu hoch angelegt werden darf (FELLMANN, a.a.O., Rz. 24). Diese Grundsätze hat die Vorinstanz zutreffend beachtet und eine angemessene Abwägung der vorliegend gegebenen Umstände vorgenommen. Der Vorwurf der Beschwerdeführerin, die Vorinstanz habe die vom Gesetzgeber gewollte Organisation des Bundespatentgerichts als mit Fachrichtern bestücktes Spezialgericht zu wenig berücksichtigt, ist daher unbegründet. Auch trifft nicht zu, dass der verfügte Ausstand von Richter Bremi die Durchführung des Erstprozesses verunmöglichen würde, stehen doch andere Fachrichter, die nicht befangen erscheinen, zur Verfügung. Dass dies in anderen Fällen mit vergleichbarer Konstellation nicht auch möglich wäre, zeigt die Beschwerdeführerin nicht hinreichend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